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47" w:rsidRDefault="00F23642" w:rsidP="00F23642">
      <w:pPr>
        <w:shd w:val="clear" w:color="auto" w:fill="F9F7F6"/>
        <w:spacing w:before="450" w:after="150" w:line="7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24F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Памятка для родителей по защите </w:t>
      </w:r>
    </w:p>
    <w:p w:rsidR="00F23642" w:rsidRPr="00024F47" w:rsidRDefault="00F23642" w:rsidP="00F23642">
      <w:pPr>
        <w:shd w:val="clear" w:color="auto" w:fill="F9F7F6"/>
        <w:spacing w:before="450" w:after="150" w:line="7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24F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 и достоинства ребёнка в семье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Принимать ребенка, таким как он есть и любить его.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Обнимать ребенка не менее четырех, а лучше по восемь раз в день.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Выражать недовольство отдельными действиями ребенка, но не ребенком в целом.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Верить в то лучшее, что есть в ребенке, и всегда поддержи</w:t>
      </w: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softHyphen/>
        <w:t>вать его. Чаще хвалить.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Родительские требования не должны вступать в явное проти</w:t>
      </w: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softHyphen/>
        <w:t>воречие с важнейшими потребностями ребенка.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Наказание не должно вредить здоровью — ни физическому, ни психическому.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Наказывая ребенка, лучше лишить его хорошего, чем сделать ему плохо.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Если сомневаетесь, наказывать или не наказывать — не наказывайте.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За один раз — может быть одно наказание. Наказан — прощен.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Ребенок не должен бояться наказания.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Если ребенок своим поведением вызывает у Вас отрицательные переживания — сообщайте ему об этом.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Не требуйте от ребенка невозможного или трудновыполнимого.</w:t>
      </w:r>
    </w:p>
    <w:p w:rsidR="00F23642" w:rsidRPr="00F23642" w:rsidRDefault="00F23642" w:rsidP="00F2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0"/>
        <w:rPr>
          <w:rFonts w:ascii="Arial" w:eastAsia="Times New Roman" w:hAnsi="Arial" w:cs="Arial"/>
          <w:color w:val="000711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3"/>
          <w:szCs w:val="23"/>
          <w:lang w:eastAsia="ru-RU"/>
        </w:rPr>
        <w:t>Положительное отношение к себе — основа психологического выживания, и ребенок постоянно ищет и даже борется за него.</w:t>
      </w:r>
    </w:p>
    <w:p w:rsidR="00F23642" w:rsidRPr="00F23642" w:rsidRDefault="00F23642" w:rsidP="00F23642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3642">
        <w:rPr>
          <w:rFonts w:ascii="Verdana" w:eastAsia="Times New Roman" w:hAnsi="Verdana" w:cs="Arial"/>
          <w:color w:val="000711"/>
          <w:sz w:val="24"/>
          <w:szCs w:val="24"/>
          <w:lang w:eastAsia="ru-RU"/>
        </w:rPr>
        <w:t>Если ребенку трудно и он готов принять Вашу помощь, обязательно помогите ему.</w:t>
      </w:r>
    </w:p>
    <w:p w:rsidR="008E42BD" w:rsidRDefault="008E42BD"/>
    <w:sectPr w:rsidR="008E42BD" w:rsidSect="008E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4FFC"/>
    <w:multiLevelType w:val="multilevel"/>
    <w:tmpl w:val="A454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42"/>
    <w:rsid w:val="00024F47"/>
    <w:rsid w:val="0021561A"/>
    <w:rsid w:val="008E42BD"/>
    <w:rsid w:val="00F2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BD"/>
  </w:style>
  <w:style w:type="paragraph" w:styleId="1">
    <w:name w:val="heading 1"/>
    <w:basedOn w:val="a"/>
    <w:link w:val="10"/>
    <w:uiPriority w:val="9"/>
    <w:qFormat/>
    <w:rsid w:val="00F23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dcterms:created xsi:type="dcterms:W3CDTF">2017-02-04T16:01:00Z</dcterms:created>
  <dcterms:modified xsi:type="dcterms:W3CDTF">2020-03-15T23:22:00Z</dcterms:modified>
</cp:coreProperties>
</file>